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7E5" w:rsidRDefault="00D147E5">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Spring Semester T-Th Schedule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Classes begin Wed., Jan. 18</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January 19 (Th) Introduction</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January 24 (T) Kafka, "In the Penal Colony"</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January 26 (Th) Schulz, Street of Crocodiles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[Background reading]</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January 31 (T) Schultz, Street of Crocodiles</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February 2 (Th) Gombrowicz</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February 7 (T)  Gombrowicz</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February 9 (Th) Gombrowicz</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February 14 (T) Hrabal, Closely Watched Trains</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February 16 (Th) Kundera, Book of Laughter</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February 21 (T)  Kundera, Book of Laughter</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February 23 (Th) Kundera, Book of Laughter; Vaculik, 3 stories</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February 28 (T)   Kundera, Unbearable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March 2 (Th)  Kundera, Unbearable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7 (T) Kundera, Unbearable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9 (Th)  Kundera, Unbearable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14 (T)--Spring Break</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16 (Th) --Spring Break</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21 (T) Klima, Love and Garbage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23 (Th)  Klima, Love and Garbage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28 (T)  Klima, Love and Garbage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30 (Th) Kis, Tomb</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4 (T)  Kis, Tomb; "Encyclopedia of the Dead"</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6 (Th) Ugresic, "Steffie Speck"</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11 (T)  Pavic, Dictionary</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13 (Th)-- Founder's Day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18 (T)   Pavic, Dictionary</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20 (Th)   Pavic, Dictionary</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25 (T)   Pavic, Dictionary</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27 (Th)  Kristof, The Notebook</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May 2--Last Day of Classes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Kristof, The Notebook</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27 classes</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Central Europe exam:  Th  May 11 9-12</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Possible Films:  Closely Watched Trains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Unbearable Lighteness of Being</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Borowski; Mrozek, Rozewicz?</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Czech stories?</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Serbian stories?</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Captive Mind?</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Central Europe Stuff?</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Get some sort of background..</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Do I want to do Love and Garbage?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u</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(1-80), finishBorowski, "This Way for the Gas, Ladies and Gentlemen."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People Who Walked On"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World of Stone", Ferdydurke, chs. 1--4, Ferdydurke, chs. 5-9, Ferdydurke, chs.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 Ferdydurke, finish</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chs. 5-89-13  Kristof, The Notebook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ˇ¯N^Nu</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Kristof, The Notebook(1-80), finish</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February 28 (T) The  and Forgetting, Parts I and IIThe  and Forgetting, Parts III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-V(1st half)The  and Forgetting, finishThe Unbearable Lightness of Being, Parts I and II</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(1-78) (79-160) (161-240) (finish)</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Kis√, A Tomb for Boris Davidovich (Introduction, 1-72)Kis√, A Tomb for Boris Davidovich (finish)</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11 (T) Pavic√, Dictionary of the Khazars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April 13 (Th)Wrap-Up±</w:t>
      </w:r>
      <w:r>
        <w:rPr>
          <w:rFonts w:ascii="Times New Roman" w:hAnsi="Times New Roman" w:cs="Times New Roman"/>
        </w:rPr>
        <w:tab/>
        <w:t>`</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b (1-84)± (84-165)± (165-258)± (finish)Ranko Marinkovic±, "The Hands"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Miodrag Bulatovic±, "The Lovers" in the Jaws of LifeJanuary 31 (T) SchulStreet of Crocodile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Man With the Package"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Supper"</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"Silence"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True Story", chs. 1-</w:t>
      </w:r>
      <w:r>
        <w:rPr>
          <w:rFonts w:ascii="Times New Roman" w:hAnsi="Times New Roman" w:cs="Times New Roman"/>
        </w:rPr>
        <w:tab/>
      </w:r>
      <w:r>
        <w:rPr>
          <w:rFonts w:ascii="Times New Roman" w:hAnsi="Times New Roman" w:cs="Times New Roman"/>
        </w:rPr>
        <w:tab/>
        <w:t>Recommended: "Poland: 1918-1990() () () ()√±Held, 229-252</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Held, 252-256Held, 199-204</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Held, 119-129</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Held, 129-141</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Held, 306-</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Required Texts (University Book Store)</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Recommended Text (University Book Store)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Joseph Held (ed.).  The Columbia History of Eastern Europe in the Twentieth Century.  New York:  Columbia University Press.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Handouts: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32323-336</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Tadeusz Borowski.  "This Way for the Gas, Ladies and Gentlemen"; ; ;; ; ; .This Way </w:t>
      </w:r>
      <w:r>
        <w:rPr>
          <w:rFonts w:ascii="Times New Roman" w:hAnsi="Times New Roman" w:cs="Times New Roman"/>
        </w:rPr>
        <w:lastRenderedPageBreak/>
        <w:t xml:space="preserve">for the Gas, Ladies and Gentlemen.  Tr. Barbara Vedder. New York: Penguin Books, 1976.  29-49, 82-97, 147-163, 177-180.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Miodrag Bulatovic±.  "The Lovers."  Tr. E. D. Goy.  Branko Lenski (ed.) Death of a Simple Giant and Other Modern Yugoslav Stories. New York: Vanguard Press, 1965.    291-306.</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Witold Gombrowicz.  Ferdydurke.  Tr. Eric Mosbacher.  New York:  Grove Press, 1968.</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Franz Kafka.  "In the Penal Colony."  The Metamorphosis, The Penal Colony, and Other Stories.  Tr. Willa and Edwin Muir.  New York:  Schocken Books, 1988.  191-227.</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Agota Kristof.  The Notebook.  Tr. Alan Sheridan.  London:  Methuen, 1989.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Ranko Marinkovic±.  "The Hands."  Tr. Petar Mijus√kovic±.  Branko Lenski (ed.) Death of a Simple Giant and Other Modern Yugoslav Stories. New York: Vanguard Press, 1965.    209-220.</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Y</w:t>
      </w:r>
      <w:r>
        <w:rPr>
          <w:rFonts w:ascii="Times New Roman" w:hAnsi="Times New Roman" w:cs="Times New Roman"/>
        </w:rPr>
        <w:tab/>
        <w:t xml:space="preserve">Hrabal, Bohumil.  Closely Watched Trains.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Kis√, Danilo.  A Tomb for Boris Davidovich.</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Kundera, Milan.  The Book of Laughter and Forgetting.</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Kundera, Milan.  The Unbearable Lightness of Being.</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Pavic±, Milorad.  The Dictionary of the Khazars.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(either Male or Female Edition)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Schulz, Bruno.  The Street of Crocodiles.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Ugres√ic±, Dubravka. In the Jaws of Life.OtherThe The sRUTR 391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f   Contemporary Central and East European Literature   f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Spring 1995</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Professor:  Eliot Borenstein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924-6690/3548</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Office:  109 Cabell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 phone: 982-4934</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Office Hours:  T 10-11; W 1-2:30,  or by appointment</w:t>
      </w:r>
      <w:r>
        <w:rPr>
          <w:rFonts w:ascii="Times New Roman" w:hAnsi="Times New Roman" w:cs="Times New Roman"/>
        </w:rPr>
        <w:tab/>
        <w:t xml:space="preserve">E-mail:  eb8s@virginia.edu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Course Description: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Course Requirements: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Grading: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and Other Stories:</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Jan. 19 (Th)  Introduction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Jan. 24 (T)   The Silver Age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Jan. 26 (Th) The Avant-Garde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W___________________________________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Jan. 31 (T)    Apocalypse Now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Feb. 2 (Th)   Apocalypse Now (2):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Revolution and Civil War</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 7 (T)   Revolutionary Cinema</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Feb. 9 (Th)   The Culture Wars: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Creating the "New World"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 14 (T)  The New Soviet Man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 16 (Th) The New Soviet Man (2)</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 21 (T)  The Jewish Question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 23 (Th)  The New Soviet Woman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Feb. 28  (T)  The Odd Man Out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PAPER # 1 DUE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2 (Th)  The Odd Man Out (2)</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7 (T)  Socialist Realism</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9 (Th) Composing Under Pressure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14, 16    SPRING BREAK</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21 (T)  The Great Terror</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March 23 (Th) Kitsch-22: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The Great Patriotic War</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28 (T)  Camp Culture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March 30 (Th)    Camp Culture (2)</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4 (T)  From the Thaw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to the Bulldozer</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6 (Th) Samizdat  and The Art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of Stagnation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11 (T) The New New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Soviet Woman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13 (Th)  The New New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Soviet Woman (2)</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18 (T)  Soviet Rock: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Notes From the Underground</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20 (Th)  Perestroika:  The Culture of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"Chernukha"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25 (T)  Perestroika:  The Culture of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"Chernukha" (2)</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27  (Th)  USSR,  RIP: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A Post-Mortem</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Next Class: </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May 2 (T)  Moscow on the Haight,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or,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The Zombies of Perestroika</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May 12 (Friday, 5:00)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Final Exam Due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Kafka, "In the Penal Colony"Schulz, The Street of Crocodiles (1-80)</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Apocalypse Now (1)       Revolution and Civil War_______________________________The New Soviet Man (2)The Jewish QuestionThe New Soviet Woman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[Socialist RealismThe Great TerrorKitsch-22: Camp Culture (1)Camp Culture (2)From the Thaw Samizdat  and The Art </w:t>
      </w:r>
      <w:r>
        <w:rPr>
          <w:rFonts w:ascii="Times New Roman" w:hAnsi="Times New Roman" w:cs="Times New Roman"/>
        </w:rPr>
        <w:tab/>
      </w:r>
      <w:r>
        <w:rPr>
          <w:rFonts w:ascii="Times New Roman" w:hAnsi="Times New Roman" w:cs="Times New Roman"/>
        </w:rPr>
        <w:tab/>
        <w:t xml:space="preserve">   Soviet Woman (2)</w:t>
      </w:r>
      <w:r>
        <w:rPr>
          <w:rFonts w:ascii="Times New Roman" w:hAnsi="Times New Roman" w:cs="Times New Roman"/>
        </w:rPr>
        <w:tab/>
        <w:t xml:space="preserve">   Notes From the UndergroundPerestroika:  The Culture of                   A Post-MortemMoscow on the Haight, May 11Thursday, noonFinal Paper</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IntroductionThe Street of Crocodiles (finish)Borowski, Short Stories</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finishMarch 30 (Th)  Kundera, </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Wrap-u </w:t>
      </w:r>
      <w:r>
        <w:rPr>
          <w:rFonts w:ascii="Times New Roman" w:hAnsi="Times New Roman" w:cs="Times New Roman"/>
        </w:rPr>
        <w:tab/>
        <w:t xml:space="preserve"> Held () (finish)_______________________________</w:t>
      </w:r>
      <w:r>
        <w:rPr>
          <w:rFonts w:ascii="Times New Roman" w:hAnsi="Times New Roman" w:cs="Times New Roman"/>
        </w:rPr>
        <w:tab/>
        <w:t xml:space="preserve"> Held ()Feb. 7 (T)  ch. 1-4)</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Feb. 9 (Th) ch Kristof </w:t>
      </w:r>
      <w:r>
        <w:rPr>
          <w:rFonts w:ascii="Times New Roman" w:hAnsi="Times New Roman" w:cs="Times New Roman"/>
        </w:rPr>
        <w:tab/>
        <w:t xml:space="preserve">  (1) ()</w:t>
      </w:r>
      <w:r>
        <w:rPr>
          <w:rFonts w:ascii="Times New Roman" w:hAnsi="Times New Roman" w:cs="Times New Roman"/>
        </w:rPr>
        <w:tab/>
        <w:t xml:space="preserve">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T</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(1)</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[1st half])</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 (__________________________, (   ,Feb. 2 (Th)  , , , , , The Notebook, The Notebook</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Held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A Tomb for Boris   _______________________________Kundera,Kundera,  Kundera,   Held ()"____This course will provide a broad survey of some of the major writers works from Poland, the former Czechoslovakia, the former Yugoslavia, and Hungary.  As this last sentence suggess, it is difficult to come up with a term that unites these various traditions; ˆ</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bas a rubric, "Central and East European Literature" is simply one of the least infelicitious of possible compromises.  Our survey focuses on works produced in the last fifty years, a period which, for some of the nations involved, describes the rise and fall and rise of the state.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Though questions of politics and ideology inevitably arise when reading literature that reflects the totalitarian experience, such issues will not be the primary concern of this course.  Rather, we will examine a wide range of questions regarding culture, philosophy, and </w:t>
      </w:r>
      <w:r>
        <w:rPr>
          <w:rFonts w:ascii="Times New Roman" w:hAnsi="Times New Roman" w:cs="Times New Roman"/>
        </w:rPr>
        <w:lastRenderedPageBreak/>
        <w:t xml:space="preserve">the aesthetic.  What does it mean to write in the tradition of a "minor" literature?  What is the effect of , philosophy, and the aesthetic:writing in exile, or of writing in a foreign language?  How do these authors turn their "marginal" status to their advantage?  Is there a "Central/East European" aesthetic or approach that unites these works?  To what extent can these works be considered "postmodern"?  How does looking at the literature of the last fifty years through a "Central/East European" lens change our approach to the postmodern?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Our attempt to answer these questions will be a "collective" one, though  though not (one hopes) in the sense the word was used in the countries whose literature we are studying.  Rather, lecturing will be kept to a minimum, so that our explorations of the text can be a "joint venture" between teacher and student.  Naturally, you are expected to keep up with the reading and attend class.  There will also be three short response papers, a medium-sized paper, and a final paper.  The response papers must be no longer than 2 pages (I will stop reading after the second page), and they can be about any of the works we are reading.  idsemester</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no longer than twoThey are a tool to help you think about an aspect of the text that interests you, and any ideas you generate in the course of these assignments would be welcome contributions to class discussion.  They may be turned in at any time before the beginning of the last discussion of the text.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mid-semester paper should be between five and eight pages; the topic is yours to choose, but I strongly recommend that you come talk to me about it in advance.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It is hoped that the short response papers will lead you toward topics for your longer papers.   (5-7 pages) (10-12)y of the works we are reading. Ideally, they should start with a concise statement of thesis in the opening paragraph, and you should limit yourself to two or three supporting examples in order to create an effective argument.  se paperseight pages long, while the final paper should be between ten and twelve pagese topic is yours to choose, butmust alk to me about it in advance.   topics of your and final paper arealk to me about themBoth your mid-semester and your final papers can be based on response papers, as long as you are not tapping the same response paper for both longer works.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There will be no exams.  CLASS SCHEDULEsuggestsinfelicitousthese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ab/>
        <w:t xml:space="preserve">The mid-semester paper is due   , and the final must be turned in by noon on May 11.  I will gladly examine any rough or partial drafts if they are given to me at least a week before the deadline, but drafts are not required.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Class participation:</w:t>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Response papers:</w:t>
      </w:r>
      <w:r>
        <w:rPr>
          <w:rFonts w:ascii="Times New Roman" w:hAnsi="Times New Roman" w:cs="Times New Roman"/>
        </w:rPr>
        <w:tab/>
      </w:r>
      <w:r>
        <w:rPr>
          <w:rFonts w:ascii="Times New Roman" w:hAnsi="Times New Roman" w:cs="Times New Roman"/>
        </w:rPr>
        <w:tab/>
        <w:t>20%</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Mid-semester paper:</w:t>
      </w:r>
      <w:r>
        <w:rPr>
          <w:rFonts w:ascii="Times New Roman" w:hAnsi="Times New Roman" w:cs="Times New Roman"/>
        </w:rPr>
        <w:tab/>
        <w:t>25%</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Final paper: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
        <w:t>Mid-Semester Paper Dueon March 9</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20</w:t>
      </w:r>
      <w:r>
        <w:rPr>
          <w:rFonts w:ascii="Times New Roman" w:hAnsi="Times New Roman" w:cs="Times New Roman"/>
        </w:rPr>
        <w:tab/>
        <w:t>20</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 xml:space="preserve">Agota Kristof..  Tr. Alan Sheridan. </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-:LW Select 300</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ABTOP III2 Example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Chicago</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New York</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Geneva</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Monaco</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Zapf Dingbats</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Bookman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N Helvetica Narrow</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Palatino</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Zapf Chancery</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Helvetica</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Courier</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Symbol</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Avant Garde</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New Century Schlbk</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Cyrillic</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Beljaevo</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RRussian</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MT Extra</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CyrillicII</w:t>
      </w:r>
    </w:p>
    <w:p w:rsidR="00D147E5" w:rsidRDefault="00D147E5">
      <w:pPr>
        <w:widowControl w:val="0"/>
        <w:autoSpaceDE w:val="0"/>
        <w:autoSpaceDN w:val="0"/>
        <w:adjustRightInd w:val="0"/>
        <w:rPr>
          <w:rFonts w:ascii="Times New Roman" w:hAnsi="Times New Roman" w:cs="Times New Roman"/>
        </w:rPr>
      </w:pPr>
      <w:r>
        <w:rPr>
          <w:rFonts w:ascii="Times New Roman" w:hAnsi="Times New Roman" w:cs="Times New Roman"/>
        </w:rPr>
        <w:t>CyrillicIISansÄ</w:t>
      </w:r>
    </w:p>
    <w:sectPr w:rsidR="00D147E5" w:rsidSect="00D147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E5"/>
    <w:rsid w:val="00D147E5"/>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F0233D4-A428-4444-9B8D-C04F05B6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1851</Words>
  <Characters>10552</Characters>
  <Application>Microsoft Office Word</Application>
  <DocSecurity>0</DocSecurity>
  <Lines>87</Lines>
  <Paragraphs>24</Paragraphs>
  <ScaleCrop>false</ScaleCrop>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2020-09-16T15:37:00Z</dcterms:created>
  <dcterms:modified xsi:type="dcterms:W3CDTF">2020-09-16T15:37:00Z</dcterms:modified>
</cp:coreProperties>
</file>